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953"/>
      </w:tblGrid>
      <w:tr w:rsidR="00656F4D" w:rsidRPr="00656F4D" w:rsidTr="00656F4D">
        <w:trPr>
          <w:trHeight w:val="1230"/>
          <w:tblCellSpacing w:w="0" w:type="dxa"/>
          <w:jc w:val="center"/>
        </w:trPr>
        <w:tc>
          <w:tcPr>
            <w:tcW w:w="4300" w:type="pct"/>
            <w:vAlign w:val="center"/>
            <w:hideMark/>
          </w:tcPr>
          <w:p w:rsidR="00656F4D" w:rsidRPr="00656F4D" w:rsidRDefault="00656F4D" w:rsidP="00656F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6F4D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656F4D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656F4D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656F4D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656F4D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656F4D" w:rsidRPr="00656F4D" w:rsidRDefault="00656F4D" w:rsidP="00656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656F4D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LEI Nº 11.788, DE  25 DE SETEMBRO DE </w:t>
        </w:r>
        <w:proofErr w:type="gramStart"/>
        <w:r w:rsidRPr="00656F4D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2008.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52"/>
        <w:gridCol w:w="4252"/>
      </w:tblGrid>
      <w:tr w:rsidR="00656F4D" w:rsidRPr="00656F4D" w:rsidTr="00656F4D">
        <w:trPr>
          <w:trHeight w:val="480"/>
          <w:tblCellSpacing w:w="0" w:type="dxa"/>
        </w:trPr>
        <w:tc>
          <w:tcPr>
            <w:tcW w:w="2500" w:type="pct"/>
            <w:vAlign w:val="center"/>
            <w:hideMark/>
          </w:tcPr>
          <w:p w:rsidR="00656F4D" w:rsidRPr="00656F4D" w:rsidRDefault="00656F4D" w:rsidP="0065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6F4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656F4D" w:rsidRPr="00656F4D" w:rsidRDefault="00656F4D" w:rsidP="00656F4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56F4D">
              <w:rPr>
                <w:rFonts w:ascii="Arial" w:eastAsia="Times New Roman" w:hAnsi="Arial" w:cs="Arial"/>
                <w:color w:val="800000"/>
                <w:sz w:val="24"/>
                <w:szCs w:val="24"/>
                <w:lang w:eastAsia="pt-BR"/>
              </w:rPr>
              <w:t>Dispõe sobre o estágio de estudantes; altera a redação do art. 428 da Consolidação das Leis do Trabalho – CLT, aprovada pelo Decreto-Lei n</w:t>
            </w:r>
            <w:r w:rsidRPr="00656F4D">
              <w:rPr>
                <w:rFonts w:ascii="Arial" w:eastAsia="Times New Roman" w:hAnsi="Arial" w:cs="Arial"/>
                <w:color w:val="800000"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656F4D">
              <w:rPr>
                <w:rFonts w:ascii="Arial" w:eastAsia="Times New Roman" w:hAnsi="Arial" w:cs="Arial"/>
                <w:color w:val="800000"/>
                <w:sz w:val="24"/>
                <w:szCs w:val="24"/>
                <w:lang w:eastAsia="pt-BR"/>
              </w:rPr>
              <w:t xml:space="preserve"> 5.452, de 1</w:t>
            </w:r>
            <w:r w:rsidRPr="00656F4D">
              <w:rPr>
                <w:rFonts w:ascii="Arial" w:eastAsia="Times New Roman" w:hAnsi="Arial" w:cs="Arial"/>
                <w:color w:val="800000"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656F4D">
              <w:rPr>
                <w:rFonts w:ascii="Arial" w:eastAsia="Times New Roman" w:hAnsi="Arial" w:cs="Arial"/>
                <w:color w:val="800000"/>
                <w:sz w:val="24"/>
                <w:szCs w:val="24"/>
                <w:lang w:eastAsia="pt-BR"/>
              </w:rPr>
              <w:t xml:space="preserve"> de maio de 1943, e a Lei n</w:t>
            </w:r>
            <w:r w:rsidRPr="00656F4D">
              <w:rPr>
                <w:rFonts w:ascii="Arial" w:eastAsia="Times New Roman" w:hAnsi="Arial" w:cs="Arial"/>
                <w:color w:val="800000"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656F4D">
              <w:rPr>
                <w:rFonts w:ascii="Arial" w:eastAsia="Times New Roman" w:hAnsi="Arial" w:cs="Arial"/>
                <w:color w:val="800000"/>
                <w:sz w:val="24"/>
                <w:szCs w:val="24"/>
                <w:lang w:eastAsia="pt-BR"/>
              </w:rPr>
              <w:t xml:space="preserve"> 9.394, de 20 de dezembro de 1996; revoga as Leis n</w:t>
            </w:r>
            <w:r w:rsidRPr="00656F4D">
              <w:rPr>
                <w:rFonts w:ascii="Arial" w:eastAsia="Times New Roman" w:hAnsi="Arial" w:cs="Arial"/>
                <w:color w:val="800000"/>
                <w:sz w:val="24"/>
                <w:szCs w:val="24"/>
                <w:u w:val="single"/>
                <w:vertAlign w:val="superscript"/>
                <w:lang w:eastAsia="pt-BR"/>
              </w:rPr>
              <w:t>os</w:t>
            </w:r>
            <w:r w:rsidRPr="00656F4D">
              <w:rPr>
                <w:rFonts w:ascii="Arial" w:eastAsia="Times New Roman" w:hAnsi="Arial" w:cs="Arial"/>
                <w:color w:val="800000"/>
                <w:sz w:val="24"/>
                <w:szCs w:val="24"/>
                <w:lang w:eastAsia="pt-BR"/>
              </w:rPr>
              <w:t xml:space="preserve"> 6.494, de </w:t>
            </w:r>
            <w:proofErr w:type="gramStart"/>
            <w:r w:rsidRPr="00656F4D">
              <w:rPr>
                <w:rFonts w:ascii="Arial" w:eastAsia="Times New Roman" w:hAnsi="Arial" w:cs="Arial"/>
                <w:color w:val="800000"/>
                <w:sz w:val="24"/>
                <w:szCs w:val="24"/>
                <w:lang w:eastAsia="pt-BR"/>
              </w:rPr>
              <w:t>7</w:t>
            </w:r>
            <w:proofErr w:type="gramEnd"/>
            <w:r w:rsidRPr="00656F4D">
              <w:rPr>
                <w:rFonts w:ascii="Arial" w:eastAsia="Times New Roman" w:hAnsi="Arial" w:cs="Arial"/>
                <w:color w:val="800000"/>
                <w:sz w:val="24"/>
                <w:szCs w:val="24"/>
                <w:lang w:eastAsia="pt-BR"/>
              </w:rPr>
              <w:t xml:space="preserve"> de dezembro de 1977, e 8.859, de 23 de março de 1994, o parágrafo único do art. 82 da Lei n</w:t>
            </w:r>
            <w:r w:rsidRPr="00656F4D">
              <w:rPr>
                <w:rFonts w:ascii="Arial" w:eastAsia="Times New Roman" w:hAnsi="Arial" w:cs="Arial"/>
                <w:color w:val="800000"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656F4D">
              <w:rPr>
                <w:rFonts w:ascii="Arial" w:eastAsia="Times New Roman" w:hAnsi="Arial" w:cs="Arial"/>
                <w:color w:val="800000"/>
                <w:sz w:val="24"/>
                <w:szCs w:val="24"/>
                <w:lang w:eastAsia="pt-BR"/>
              </w:rPr>
              <w:t xml:space="preserve"> 9.394, de 20 de dezembro de 1996, e o art. 6</w:t>
            </w:r>
            <w:r w:rsidRPr="00656F4D">
              <w:rPr>
                <w:rFonts w:ascii="Arial" w:eastAsia="Times New Roman" w:hAnsi="Arial" w:cs="Arial"/>
                <w:color w:val="800000"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656F4D">
              <w:rPr>
                <w:rFonts w:ascii="Arial" w:eastAsia="Times New Roman" w:hAnsi="Arial" w:cs="Arial"/>
                <w:color w:val="800000"/>
                <w:sz w:val="24"/>
                <w:szCs w:val="24"/>
                <w:lang w:eastAsia="pt-BR"/>
              </w:rPr>
              <w:t xml:space="preserve"> da Medida Provisória  n</w:t>
            </w:r>
            <w:r w:rsidRPr="00656F4D">
              <w:rPr>
                <w:rFonts w:ascii="Arial" w:eastAsia="Times New Roman" w:hAnsi="Arial" w:cs="Arial"/>
                <w:color w:val="800000"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656F4D">
              <w:rPr>
                <w:rFonts w:ascii="Arial" w:eastAsia="Times New Roman" w:hAnsi="Arial" w:cs="Arial"/>
                <w:color w:val="800000"/>
                <w:sz w:val="24"/>
                <w:szCs w:val="24"/>
                <w:lang w:eastAsia="pt-BR"/>
              </w:rPr>
              <w:t xml:space="preserve"> 2.164-41, de 24 de agosto de 2001; e dá outras providências.</w:t>
            </w:r>
          </w:p>
        </w:tc>
      </w:tr>
    </w:tbl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F4D">
        <w:rPr>
          <w:rFonts w:ascii="Arial" w:eastAsia="Times New Roman" w:hAnsi="Arial" w:cs="Arial"/>
          <w:sz w:val="24"/>
          <w:szCs w:val="24"/>
          <w:lang w:eastAsia="pt-BR"/>
        </w:rPr>
        <w:t> </w:t>
      </w:r>
      <w:proofErr w:type="gramStart"/>
      <w:r w:rsidRPr="00656F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O PRESIDENTE DA REPÚBLICA </w:t>
      </w:r>
      <w:r w:rsidRPr="00656F4D">
        <w:rPr>
          <w:rFonts w:ascii="Arial" w:eastAsia="Times New Roman" w:hAnsi="Arial" w:cs="Arial"/>
          <w:sz w:val="24"/>
          <w:szCs w:val="24"/>
          <w:lang w:eastAsia="pt-BR"/>
        </w:rPr>
        <w:t>Faço</w:t>
      </w:r>
      <w:proofErr w:type="gramEnd"/>
      <w:r w:rsidRPr="00656F4D">
        <w:rPr>
          <w:rFonts w:ascii="Arial" w:eastAsia="Times New Roman" w:hAnsi="Arial" w:cs="Arial"/>
          <w:sz w:val="24"/>
          <w:szCs w:val="24"/>
          <w:lang w:eastAsia="pt-BR"/>
        </w:rPr>
        <w:t xml:space="preserve"> saber que o Congresso Nacional decreta e eu sanciono a seguinte Lei: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CAPÍTULO I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DA DEFINIÇÃO, CLASSIFICAÇÃO E RELAÇÕES DE </w:t>
      </w: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ESTÁGIO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Art. 1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  Estágio é ato educativo escolar supervisionado, desenvolvido no ambiente de trabalho, que visa à preparação para o trabalho produtivo de </w:t>
      </w:r>
      <w:proofErr w:type="spell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educandos</w:t>
      </w:r>
      <w:proofErr w:type="spell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que estejam </w:t>
      </w:r>
      <w:proofErr w:type="spell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freqüentando</w:t>
      </w:r>
      <w:proofErr w:type="spell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o ensino regular em instituições de educação superior, de educação profissional, de ensino médio, da educação especial e dos anos finais do ensino fundamental, na modalidade profissional da educação de jovens e adultos.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§ 1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  O estágio faz parte do projeto pedagógico do curso, além de integrar o itinerário formativo do educando.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§ 2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  O estágio visa ao aprendizado de competências próprias da atividade profissional e à contextualização curricular, objetivando o desenvolvimento do educando para a vida cidadã e para o trabalho.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Art. 2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  O estágio poderá ser obrigatório ou </w:t>
      </w:r>
      <w:proofErr w:type="spellStart"/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não-obrigatório</w:t>
      </w:r>
      <w:proofErr w:type="spellEnd"/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>, conforme determinação das diretrizes curriculares da etapa, modalidade e área de ensino e do projeto pedagógico do curso.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§ 1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  Estágio obrigatório é aquele definido como tal no projeto do curso, cuja carga horária é requisito para aprovação e obtenção de diploma.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§ 2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  Estágio </w:t>
      </w:r>
      <w:proofErr w:type="spellStart"/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não-obrigatório</w:t>
      </w:r>
      <w:proofErr w:type="spellEnd"/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é aquele desenvolvido como atividade opcional, acrescida à carga horária regular e obrigatória.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lastRenderedPageBreak/>
        <w:t>§ 3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  As atividades de extensão, de monitorias e de iniciação científica na educação superior, desenvolvidas pelo estudante, somente poderão ser equiparadas ao estágio em caso de previsão no projeto pedagógico do curso. 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Art. 3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  O estágio, tanto na hipótese do § 1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do art. 2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desta Lei quanto na prevista no § 2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do mesmo dispositivo, não cria vínculo </w:t>
      </w: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empregatício de qualquer natureza, observados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os seguintes requisitos: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I – matrícula e </w:t>
      </w:r>
      <w:proofErr w:type="spell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freqüência</w:t>
      </w:r>
      <w:proofErr w:type="spell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regular do educando em curso de educação superior, de educação profissional, de ensino médio, da educação especial e nos anos finais do ensino fundamental, na modalidade profissional da educação de jovens e adultos e atestados pela instituição de ensino;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II – celebração de termo de compromisso entre o educando, a parte concedente do estágio e a instituição de ensino;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III – compatibilidade entre as atividades desenvolvidas no estágio e aquelas previstas no termo de compromisso.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§ 1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  O estágio</w:t>
      </w: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, como ato educativo escolar supervisionado, deverá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ter acompanhamento efetivo pelo professor orientador da instituição de ensino e por supervisor da parte concedente, comprovado por vistos nos relatórios referidos no inciso IV do caput</w:t>
      </w:r>
      <w:r w:rsidRPr="00656F4D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 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do art. 7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desta Lei e por menção de aprovação final.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§ 2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  O descumprimento de qualquer dos incisos deste artigo ou de qualquer obrigação contida no termo de compromisso caracteriza vínculo de emprego do educando com a parte concedente do estágio para todos os fins da legislação trabalhista e previdenciária.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Art. 4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  A realização de estágios, nos termos desta Lei, aplica-se aos estudantes estrangeiros regularmente matriculados em cursos superiores no País, autorizados ou reconhecidos, observado o prazo do visto temporário de estudante, na forma da legislação aplicável.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Art. 5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  As instituições de ensino e as partes cedentes de estágio podem, a seu critério, recorrer a serviços de agentes de integração públicos e privados, mediante condições acordadas em instrumento jurídico apropriado, devendo ser observada, no caso de contratação com recursos públicos, a legislação que estabelece as normas gerais de licitação.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§ 1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  Cabe aos agentes de integração, como auxiliares no processo de aperfeiçoamento do instituto do estágio: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I – identificar oportunidades de estágio;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II – ajustar suas condições de realização;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III – fazer o acompanhamento administrativo;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IV – encaminhar negociação de seguros contra acidentes pessoais;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V – cadastrar os estudantes.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§ 2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  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É vedada a cobrança de qualquer valor dos estudantes, a título de remuneração pelos serviços referidos nos incisos deste artigo. 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§ 3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  Os agentes de integração serão responsabilizados civilmente se indicarem estagiários para a realização de atividades não compatíveis com a programação curricular 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lastRenderedPageBreak/>
        <w:t>estabelecida para cada curso, assim como estagiários matriculados em cursos ou instituições para as quais não há previsão de estágio curricular.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Art. 6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  O local de estágio pode ser selecionado a partir de cadastro de partes cedentes, organizado pelas instituições de ensino ou pelos agentes de integração.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CAPÍTULO II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br/>
        <w:t>DA INSTITUIÇÃO DE ENSINO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Art. 7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  São obrigações das instituições de ensino, em relação aos estágios de seus </w:t>
      </w:r>
      <w:proofErr w:type="spell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educandos</w:t>
      </w:r>
      <w:proofErr w:type="spell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>: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I – celebrar termo de compromisso com o educando ou com seu representante ou assistente legal, quando ele for absoluta ou relativamente incapaz, e com a parte concedente, indicando as condições de adequação do estágio à proposta pedagógica do curso, à etapa e modalidade da formação escolar do estudante e ao horário e calendário escolar;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II – avaliar as instalações da parte concedente do estágio e sua adequação à formação cultural e profissional do educando;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III – indicar professor orientador, da área a ser desenvolvida no estágio, como responsável pelo acompanhamento e avaliação das atividades do estagiário;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IV – exigir do educando a apresentação periódica, em prazo não superior a </w:t>
      </w: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6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(seis) meses, de relatório das atividades;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V – zelar pelo cumprimento do termo de compromisso, reorientando o estagiário para outro local em caso de descumprimento de suas normas;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VI – elaborar normas complementares e instrumentos de avaliação dos estágios de seus </w:t>
      </w:r>
      <w:proofErr w:type="spell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educandos</w:t>
      </w:r>
      <w:proofErr w:type="spell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>;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VII – comunicar à parte concedente do estágio, no início do período letivo, as datas de realização de avaliações escolares ou acadêmicas.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único.  O plano de  atividades do estagiário, elaborado em acordo das </w:t>
      </w: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3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(três) partes a que se refere o inciso II do caput</w:t>
      </w:r>
      <w:r w:rsidRPr="00656F4D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 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do art. 3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desta Lei, será incorporado ao termo de compromisso por meio de aditivos à medida que for avaliado, progressivamente, o desempenho do estudante.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Art. 8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  É facultado às instituições de ensino celebrar com entes públicos e privados convênio de concessão de estágio, nos quais se explicitem o processo educativo compreendido nas atividades programadas para seus </w:t>
      </w:r>
      <w:proofErr w:type="spell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educandos</w:t>
      </w:r>
      <w:proofErr w:type="spell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e as condições de que tratam os </w:t>
      </w:r>
      <w:proofErr w:type="spell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arts</w:t>
      </w:r>
      <w:proofErr w:type="spell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>. 6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a 14 desta Lei.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Parágrafo único.  A celebração de convênio de concessão de estágio entre a instituição de ensino e a parte concedente não dispensa a celebração do termo de compromisso de que trata o inciso II do caput</w:t>
      </w:r>
      <w:r w:rsidRPr="00656F4D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 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do art. 3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desta Lei.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CAPÍTULO III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br/>
        <w:t>DA PARTE CONCEDENTE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Art. 9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  As pessoas jurídicas de direito privado e os órgãos da administração pública direta, autárquica e </w:t>
      </w:r>
      <w:proofErr w:type="spell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fundacional</w:t>
      </w:r>
      <w:proofErr w:type="spell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de qualquer dos Poderes da União, dos Estados, do Distrito Federal e dos Municípios, bem como profissionais liberais de nível </w:t>
      </w: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superior devidamente registrados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em seus respectivos conselhos de fiscalização profissional, podem oferecer estágio, observadas as seguintes obrigações: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lastRenderedPageBreak/>
        <w:t>I – celebrar termo de compromisso com a instituição de ensino e o educando, zelando por seu cumprimento;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II – ofertar instalações que tenham condições de proporcionar ao educando atividades de aprendizagem social, profissional e cultural;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III – indicar funcionário de seu quadro de pessoal, com formação ou experiência profissional na área de conhecimento desenvolvida no curso do estagiário, para orientar e supervisionar até 10 (dez) estagiários simultaneamente;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IV – contratar em favor do estagiário seguro contra acidentes pessoais, cuja apólice seja compatível com valores de mercado, conforme fique estabelecido no termo de compromisso;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V – por ocasião do desligamento do estagiário, entregar termo de realização do estágio com indicação resumida das atividades desenvolvidas, dos períodos e da avaliação de desempenho;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VI – manter </w:t>
      </w: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à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disposição da fiscalização documentos que comprovem a relação de estágio;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VII – enviar à instituição de ensino, com periodicidade mínima de </w:t>
      </w: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6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(seis) meses, relatório de atividades, com vista obrigatória ao estagiário.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Parágrafo único</w:t>
      </w:r>
      <w:r w:rsidRPr="00656F4D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.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  No caso de estágio obrigatório, a responsabilidade pela contratação do seguro de que trata o inciso IV do caput</w:t>
      </w:r>
      <w:r w:rsidRPr="00656F4D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 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deste artigo poderá, alternativamente, ser assumida pela instituição de ensino.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CAPÍTULO IV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br/>
        <w:t>DO ESTAGIÁRIO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Art. 10.  A jornada de atividade em estágio será definida de comum acordo entre a instituição de ensino, a parte concedente e o aluno estagiário ou seu representante legal, devendo constar do termo de compromisso ser compatível com as atividades escolares e não ultrapassar: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I – 4 (quatro) horas diárias e 20 (vinte) horas semanais, no caso de estudantes de educação especial e dos anos finais do ensino fundamental, na modalidade profissional de educação de jovens e adultos;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II – 6 (seis) horas diárias e 30 (trinta) horas semanais, no caso de estudantes do ensino superior, da educação profissional de nível médio e do ensino médio regular.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§ 1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  O estágio relativo a cursos que alternam teoria e prática, nos períodos em que não estão programadas aulas presenciais, poderá ter jornada de até 40 (quarenta) horas semanais, desde que isso esteja previsto no projeto pedagógico do curso e da instituição de ensino.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§ 2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  Se a instituição de ensino adotar verificações de aprendizagem periódicas ou finais, nos períodos de avaliação, a carga horária do estágio será reduzida pelo menos à metade, segundo estipulado no termo de compromisso, para garantir o bom desempenho do estudante.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Art. 11.  A duração do estágio, na mesma parte concedente, não poderá exceder </w:t>
      </w: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(dois) anos, exceto quando se tratar de estagiário portador de deficiência.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Art. 12.  O estagiário poderá receber bolsa ou outra forma de contraprestação que venha a ser acordada, sendo compulsória a sua concessão, bem como a do auxílio-transporte, na hipótese de estágio não obrigatório.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lastRenderedPageBreak/>
        <w:t>§ 1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  A eventual concessão de benefícios relacionados a transporte, alimentação e saúde, entre outros, não caracteriza vínculo empregatício.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§ 2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  Poderá o educando inscrever-se e contribuir como segurado facultativo do Regime Geral de Previdência Social. 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Art. 13.  É assegurado ao estagiário, sempre que o estágio tenha duração igual ou superior a </w:t>
      </w: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1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(um) ano, período de recesso de 30 (trinta) dias, a ser gozado preferencialmente durante suas férias escolares.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§ 1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  O recesso de que trata este artigo</w:t>
      </w:r>
      <w:r w:rsidRPr="00656F4D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 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deverá ser remunerado quando o estagiário receber bolsa ou outra forma de contraprestação.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§ 2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  Os dias de recesso previstos neste artigo serão concedidos de maneira proporcional, nos casos de o estágio ter duração inferior a </w:t>
      </w: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1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(um) ano.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Art. 14.  Aplica-se ao estagiário a legislação relacionada à saúde e segurança no trabalho, sendo sua </w:t>
      </w: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implementação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de responsabilidade da parte concedente do estágio.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CAPÍTULO V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br/>
        <w:t>DA FISCALIZAÇÃO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Art. 15.  A manutenção de estagiários em desconformidade com esta Lei caracteriza vínculo de emprego do educando com a parte concedente do estágio para todos os fins da legislação trabalhista e previdenciária.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§ 1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  A instituição privada ou pública que reincidir na irregularidade de que trata este artigo ficará impedida de receber estagiários por </w:t>
      </w: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(dois) anos, contados da data da decisão definitiva do processo administrativo correspondente.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§ 2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  A penalidade de que trata o § 1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deste artigo limita-se à filial ou agência em que for cometida a irregularidade.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CAPÍTULO VI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br/>
        <w:t>DAS DISPOSIÇÕES GERAIS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Art. 16.  O termo de compromisso deverá ser firmado pelo estagiário ou com seu representante ou assistente legal e pelos representantes legais da parte concedente e da instituição de ensino, vedada </w:t>
      </w: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atuação dos agentes de integração a que se refere o art. 5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desta Lei como representante de qualquer das partes.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Art. 17.  O número máximo de estagiários em relação ao quadro de pessoal das entidades concedentes de estágio deverá atender às seguintes proporções: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I – de </w:t>
      </w: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1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(um) a 5 (cinco) empregados: 1 (um) estagiário;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II – de </w:t>
      </w: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6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(seis) a 10 (dez) empregados: até 2 (dois) estagiários;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III – de 11 (onze) a 25 (vinte e cinco) empregados: até </w:t>
      </w: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5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(cinco) estagiários;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IV – acima de 25 (vinte e cinco) empregados: até 20% (vinte por cento) de estagiários.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§ 1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  Para efeito desta Lei, considera-se quadro de pessoal o conjunto de trabalhadores empregados existentes no estabelecimento do estágio.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lastRenderedPageBreak/>
        <w:t>§ 2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  Na hipótese de a parte concedente contar com várias filiais ou estabelecimentos, os quantitativos previstos nos incisos deste artigo serão aplicados a cada um deles.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§ 3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  Quando o cálculo do percentual disposto no inciso IV do caput</w:t>
      </w:r>
      <w:r w:rsidRPr="00656F4D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 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deste artigo resultar em fração</w:t>
      </w: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, poderá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ser arredondado para o número inteiro imediatamente  superior.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§ 4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  Não se aplica o disposto no caput deste artigo aos estágios de nível superior e de nível médio profissional.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§ 5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>  Fica assegurado às pessoas portadoras de deficiência o percentual de 10% (dez por cento) das vagas oferecidas pela parte concedente do estágio.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>Art. 18.  A prorrogação dos estágios contratados antes do início da vigência desta Lei apenas poderá ocorrer se ajustada às suas disposições.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art19"/>
      <w:bookmarkEnd w:id="0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Art. 19.  O art. 428 da Consolidação das Leis do Trabalho – CLT, aprovada pelo </w:t>
      </w:r>
      <w:hyperlink r:id="rId5" w:history="1">
        <w:r w:rsidRPr="00656F4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Decreto-Lei n</w:t>
        </w:r>
        <w:r w:rsidRPr="00656F4D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656F4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5.452, de 1</w:t>
        </w:r>
        <w:r w:rsidRPr="00656F4D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656F4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de maio de 1943</w:t>
        </w:r>
      </w:hyperlink>
      <w:r w:rsidRPr="00656F4D">
        <w:rPr>
          <w:rFonts w:ascii="Arial" w:eastAsia="Times New Roman" w:hAnsi="Arial" w:cs="Arial"/>
          <w:sz w:val="20"/>
          <w:szCs w:val="20"/>
          <w:lang w:eastAsia="pt-BR"/>
        </w:rPr>
        <w:t>, passa a vigorar com as seguintes alterações: </w:t>
      </w:r>
    </w:p>
    <w:p w:rsidR="00656F4D" w:rsidRPr="00656F4D" w:rsidRDefault="00656F4D" w:rsidP="00656F4D">
      <w:pPr>
        <w:spacing w:beforeAutospacing="1" w:after="100" w:afterAutospacing="1" w:line="240" w:lineRule="auto"/>
        <w:ind w:left="1429"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“Art. 428.  </w:t>
      </w: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</w:t>
      </w:r>
      <w:proofErr w:type="gramEnd"/>
    </w:p>
    <w:p w:rsidR="00656F4D" w:rsidRPr="00656F4D" w:rsidRDefault="00656F4D" w:rsidP="00656F4D">
      <w:pPr>
        <w:spacing w:before="100" w:beforeAutospacing="1" w:after="100" w:afterAutospacing="1" w:line="240" w:lineRule="auto"/>
        <w:ind w:left="1429" w:firstLine="613"/>
        <w:rPr>
          <w:rFonts w:ascii="Arial" w:eastAsia="Times New Roman" w:hAnsi="Arial" w:cs="Arial"/>
          <w:sz w:val="20"/>
          <w:szCs w:val="20"/>
          <w:lang w:eastAsia="pt-BR"/>
        </w:rPr>
      </w:pPr>
      <w:hyperlink r:id="rId6" w:anchor="art428§1" w:history="1">
        <w:r w:rsidRPr="00656F4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§ 1</w:t>
        </w:r>
        <w:r w:rsidRPr="00656F4D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656F4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 </w:t>
        </w:r>
      </w:hyperlink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A validade do contrato de aprendizagem pressupõe anotação na Carteira de Trabalho e Previdência Social, matrícula e </w:t>
      </w:r>
      <w:proofErr w:type="spell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freqüência</w:t>
      </w:r>
      <w:proofErr w:type="spell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do aprendiz na escola, caso não haja concluído o ensino médio, e inscrição em programa de aprendizagem desenvolvido </w:t>
      </w: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sob orientação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de entidade qualificada em formação técnico-profissional metódica.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left="1429" w:firstLine="613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left="1429" w:firstLine="613"/>
        <w:rPr>
          <w:rFonts w:ascii="Arial" w:eastAsia="Times New Roman" w:hAnsi="Arial" w:cs="Arial"/>
          <w:sz w:val="20"/>
          <w:szCs w:val="20"/>
          <w:lang w:eastAsia="pt-BR"/>
        </w:rPr>
      </w:pPr>
      <w:hyperlink r:id="rId7" w:anchor="art428§3" w:history="1">
        <w:r w:rsidRPr="00656F4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§ 3</w:t>
        </w:r>
        <w:r w:rsidRPr="00656F4D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656F4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 </w:t>
        </w:r>
      </w:hyperlink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O contrato de aprendizagem não poderá ser estipulado por mais de </w:t>
      </w: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(dois) anos, exceto quando se tratar de aprendiz portador de deficiência.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left="1429" w:firstLine="613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......................................................................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left="1429" w:firstLine="613"/>
        <w:rPr>
          <w:rFonts w:ascii="Arial" w:eastAsia="Times New Roman" w:hAnsi="Arial" w:cs="Arial"/>
          <w:sz w:val="20"/>
          <w:szCs w:val="20"/>
          <w:lang w:eastAsia="pt-BR"/>
        </w:rPr>
      </w:pPr>
      <w:hyperlink r:id="rId8" w:anchor="art428§7" w:history="1">
        <w:r w:rsidRPr="00656F4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§ 7</w:t>
        </w:r>
        <w:r w:rsidRPr="00656F4D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656F4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 </w:t>
        </w:r>
      </w:hyperlink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Nas localidades onde não houver oferta de ensino médio para o cumprimento do disposto no § 1</w:t>
      </w:r>
      <w:r w:rsidRPr="00656F4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deste artigo, a contratação do aprendiz poderá ocorrer sem a </w:t>
      </w:r>
      <w:proofErr w:type="spell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freqüência</w:t>
      </w:r>
      <w:proofErr w:type="spell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à escola, desde que ele já tenha concluído o ensino fundamental.” (NR</w:t>
      </w: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bookmarkStart w:id="1" w:name="art20"/>
      <w:bookmarkEnd w:id="1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Art. 20.  O art. 82 da </w:t>
      </w:r>
      <w:hyperlink r:id="rId9" w:history="1">
        <w:r w:rsidRPr="00656F4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Lei n</w:t>
        </w:r>
        <w:r w:rsidRPr="00656F4D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656F4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9.394, de 20 de dezembro de 1996</w:t>
        </w:r>
      </w:hyperlink>
      <w:r w:rsidRPr="00656F4D">
        <w:rPr>
          <w:rFonts w:ascii="Arial" w:eastAsia="Times New Roman" w:hAnsi="Arial" w:cs="Arial"/>
          <w:sz w:val="20"/>
          <w:szCs w:val="20"/>
          <w:lang w:eastAsia="pt-BR"/>
        </w:rPr>
        <w:t>, passa a vigorar com a seguinte redação: </w:t>
      </w:r>
    </w:p>
    <w:p w:rsidR="00656F4D" w:rsidRPr="00656F4D" w:rsidRDefault="00656F4D" w:rsidP="00656F4D">
      <w:pPr>
        <w:spacing w:beforeAutospacing="1" w:after="100" w:afterAutospacing="1" w:line="240" w:lineRule="auto"/>
        <w:ind w:left="1429" w:firstLine="613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“</w:t>
      </w:r>
      <w:hyperlink r:id="rId10" w:anchor="art82" w:history="1">
        <w:r w:rsidRPr="00656F4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Art. 82.</w:t>
        </w:r>
        <w:proofErr w:type="gramEnd"/>
        <w:r w:rsidRPr="00656F4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 </w:t>
        </w:r>
      </w:hyperlink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Os sistemas de ensino estabelecerão as normas de realização de estágio em sua jurisdição, observada a lei federal sobre a matéria. </w:t>
      </w:r>
    </w:p>
    <w:p w:rsidR="00656F4D" w:rsidRPr="00656F4D" w:rsidRDefault="00656F4D" w:rsidP="00656F4D">
      <w:pPr>
        <w:spacing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    </w:t>
      </w:r>
      <w:hyperlink r:id="rId11" w:anchor="art82p" w:history="1">
        <w:r w:rsidRPr="00656F4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Parágrafo único</w:t>
        </w:r>
      </w:hyperlink>
      <w:r w:rsidRPr="00656F4D">
        <w:rPr>
          <w:rFonts w:ascii="Arial" w:eastAsia="Times New Roman" w:hAnsi="Arial" w:cs="Arial"/>
          <w:sz w:val="20"/>
          <w:szCs w:val="20"/>
          <w:lang w:eastAsia="pt-BR"/>
        </w:rPr>
        <w:t>. (</w:t>
      </w:r>
      <w:proofErr w:type="gramStart"/>
      <w:r w:rsidRPr="00656F4D">
        <w:rPr>
          <w:rFonts w:ascii="Arial" w:eastAsia="Times New Roman" w:hAnsi="Arial" w:cs="Arial"/>
          <w:sz w:val="20"/>
          <w:szCs w:val="20"/>
          <w:lang w:eastAsia="pt-BR"/>
        </w:rPr>
        <w:t>Revogado).”</w:t>
      </w:r>
      <w:proofErr w:type="gramEnd"/>
      <w:r w:rsidRPr="00656F4D">
        <w:rPr>
          <w:rFonts w:ascii="Arial" w:eastAsia="Times New Roman" w:hAnsi="Arial" w:cs="Arial"/>
          <w:sz w:val="20"/>
          <w:szCs w:val="20"/>
          <w:lang w:eastAsia="pt-BR"/>
        </w:rPr>
        <w:t xml:space="preserve"> (NR)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Arial" w:eastAsia="Times New Roman" w:hAnsi="Arial" w:cs="Arial"/>
          <w:sz w:val="20"/>
          <w:szCs w:val="20"/>
          <w:lang w:eastAsia="pt-BR"/>
        </w:rPr>
      </w:pPr>
      <w:bookmarkStart w:id="2" w:name="art21"/>
      <w:bookmarkEnd w:id="2"/>
      <w:r w:rsidRPr="00656F4D">
        <w:rPr>
          <w:rFonts w:ascii="Arial" w:eastAsia="Times New Roman" w:hAnsi="Arial" w:cs="Arial"/>
          <w:sz w:val="20"/>
          <w:szCs w:val="20"/>
          <w:lang w:eastAsia="pt-BR"/>
        </w:rPr>
        <w:t>Art. 21.  Esta Lei entra em vigor na data de sua publicação.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art22"/>
      <w:bookmarkEnd w:id="3"/>
      <w:r w:rsidRPr="00656F4D">
        <w:rPr>
          <w:rFonts w:ascii="Arial" w:eastAsia="Times New Roman" w:hAnsi="Arial" w:cs="Arial"/>
          <w:sz w:val="24"/>
          <w:szCs w:val="24"/>
          <w:lang w:eastAsia="pt-BR"/>
        </w:rPr>
        <w:t xml:space="preserve">Art. 22.  Revogam-se as </w:t>
      </w:r>
      <w:hyperlink r:id="rId12" w:history="1">
        <w:r w:rsidRPr="00656F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Leis n</w:t>
        </w:r>
        <w:r w:rsidRPr="00656F4D">
          <w:rPr>
            <w:rFonts w:ascii="Arial" w:eastAsia="Times New Roman" w:hAnsi="Arial" w:cs="Arial"/>
            <w:color w:val="0000FF"/>
            <w:sz w:val="24"/>
            <w:szCs w:val="24"/>
            <w:u w:val="single"/>
            <w:vertAlign w:val="superscript"/>
            <w:lang w:eastAsia="pt-BR"/>
          </w:rPr>
          <w:t>os</w:t>
        </w:r>
        <w:r w:rsidRPr="00656F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 xml:space="preserve"> 6.494, de </w:t>
        </w:r>
        <w:proofErr w:type="gramStart"/>
        <w:r w:rsidRPr="00656F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7</w:t>
        </w:r>
        <w:proofErr w:type="gramEnd"/>
        <w:r w:rsidRPr="00656F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 xml:space="preserve"> de dezembro de 1977</w:t>
        </w:r>
      </w:hyperlink>
      <w:r w:rsidRPr="00656F4D">
        <w:rPr>
          <w:rFonts w:ascii="Arial" w:eastAsia="Times New Roman" w:hAnsi="Arial" w:cs="Arial"/>
          <w:sz w:val="24"/>
          <w:szCs w:val="24"/>
          <w:lang w:eastAsia="pt-BR"/>
        </w:rPr>
        <w:t xml:space="preserve">, e </w:t>
      </w:r>
      <w:hyperlink r:id="rId13" w:history="1">
        <w:r w:rsidRPr="00656F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8.859, de 23 de março de 1994</w:t>
        </w:r>
      </w:hyperlink>
      <w:r w:rsidRPr="00656F4D">
        <w:rPr>
          <w:rFonts w:ascii="Arial" w:eastAsia="Times New Roman" w:hAnsi="Arial" w:cs="Arial"/>
          <w:sz w:val="24"/>
          <w:szCs w:val="24"/>
          <w:lang w:eastAsia="pt-BR"/>
        </w:rPr>
        <w:t xml:space="preserve">, o </w:t>
      </w:r>
      <w:hyperlink r:id="rId14" w:anchor="art82p" w:history="1">
        <w:r w:rsidRPr="00656F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parágrafo único do art. 82 da Lei n</w:t>
        </w:r>
        <w:r w:rsidRPr="00656F4D">
          <w:rPr>
            <w:rFonts w:ascii="Arial" w:eastAsia="Times New Roman" w:hAnsi="Arial" w:cs="Arial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656F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 xml:space="preserve"> 9.394, de 20 de dezembro de 1996</w:t>
        </w:r>
      </w:hyperlink>
      <w:r w:rsidRPr="00656F4D">
        <w:rPr>
          <w:rFonts w:ascii="Arial" w:eastAsia="Times New Roman" w:hAnsi="Arial" w:cs="Arial"/>
          <w:sz w:val="24"/>
          <w:szCs w:val="24"/>
          <w:lang w:eastAsia="pt-BR"/>
        </w:rPr>
        <w:t xml:space="preserve">, e o </w:t>
      </w:r>
      <w:hyperlink r:id="rId15" w:anchor="art6" w:history="1">
        <w:r w:rsidRPr="00656F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art. 6</w:t>
        </w:r>
        <w:r w:rsidRPr="00656F4D">
          <w:rPr>
            <w:rFonts w:ascii="Arial" w:eastAsia="Times New Roman" w:hAnsi="Arial" w:cs="Arial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656F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 xml:space="preserve"> da Medida Provisória n</w:t>
        </w:r>
        <w:r w:rsidRPr="00656F4D">
          <w:rPr>
            <w:rFonts w:ascii="Arial" w:eastAsia="Times New Roman" w:hAnsi="Arial" w:cs="Arial"/>
            <w:color w:val="0000FF"/>
            <w:sz w:val="24"/>
            <w:szCs w:val="24"/>
            <w:u w:val="single"/>
            <w:vertAlign w:val="superscript"/>
            <w:lang w:eastAsia="pt-BR"/>
          </w:rPr>
          <w:t>o</w:t>
        </w:r>
        <w:r w:rsidRPr="00656F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 xml:space="preserve"> 2.164-41, de 24 de agosto de 2001</w:t>
        </w:r>
      </w:hyperlink>
      <w:r w:rsidRPr="00656F4D">
        <w:rPr>
          <w:rFonts w:ascii="Arial" w:eastAsia="Times New Roman" w:hAnsi="Arial" w:cs="Arial"/>
          <w:sz w:val="24"/>
          <w:szCs w:val="24"/>
          <w:lang w:eastAsia="pt-BR"/>
        </w:rPr>
        <w:t>.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ind w:firstLine="61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F4D">
        <w:rPr>
          <w:rFonts w:ascii="Arial" w:eastAsia="Times New Roman" w:hAnsi="Arial" w:cs="Arial"/>
          <w:sz w:val="24"/>
          <w:szCs w:val="24"/>
          <w:lang w:eastAsia="pt-BR"/>
        </w:rPr>
        <w:t>            Brasília, 25 de setembro de 2008; 187</w:t>
      </w:r>
      <w:r w:rsidRPr="00656F4D">
        <w:rPr>
          <w:rFonts w:ascii="Arial" w:eastAsia="Times New Roman" w:hAnsi="Arial" w:cs="Arial"/>
          <w:sz w:val="24"/>
          <w:szCs w:val="24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4"/>
          <w:szCs w:val="24"/>
          <w:lang w:eastAsia="pt-BR"/>
        </w:rPr>
        <w:t xml:space="preserve"> da Independência e 120</w:t>
      </w:r>
      <w:r w:rsidRPr="00656F4D">
        <w:rPr>
          <w:rFonts w:ascii="Arial" w:eastAsia="Times New Roman" w:hAnsi="Arial" w:cs="Arial"/>
          <w:sz w:val="24"/>
          <w:szCs w:val="24"/>
          <w:u w:val="single"/>
          <w:vertAlign w:val="superscript"/>
          <w:lang w:eastAsia="pt-BR"/>
        </w:rPr>
        <w:t>o</w:t>
      </w:r>
      <w:r w:rsidRPr="00656F4D">
        <w:rPr>
          <w:rFonts w:ascii="Arial" w:eastAsia="Times New Roman" w:hAnsi="Arial" w:cs="Arial"/>
          <w:sz w:val="24"/>
          <w:szCs w:val="24"/>
          <w:lang w:eastAsia="pt-BR"/>
        </w:rPr>
        <w:t xml:space="preserve"> da República.</w:t>
      </w:r>
    </w:p>
    <w:p w:rsidR="00656F4D" w:rsidRPr="00656F4D" w:rsidRDefault="00656F4D" w:rsidP="00656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F4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LUIZ INÁCIO LULA DA SILVA</w:t>
      </w:r>
      <w:r w:rsidRPr="00656F4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656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Fernando Haddad</w:t>
      </w:r>
      <w:r w:rsidRPr="00656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>André Peixoto Figueiredo Lima</w:t>
      </w:r>
    </w:p>
    <w:p w:rsidR="00656F4D" w:rsidRPr="00656F4D" w:rsidRDefault="00656F4D" w:rsidP="00656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F4D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Este texto não substitui o publicado no DOU de 26.9.2008 </w:t>
      </w:r>
    </w:p>
    <w:p w:rsidR="00656F4D" w:rsidRPr="00656F4D" w:rsidRDefault="00656F4D" w:rsidP="00656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F4D">
        <w:rPr>
          <w:rFonts w:ascii="Times New Roman" w:eastAsia="Times New Roman" w:hAnsi="Times New Roman" w:cs="Times New Roman"/>
          <w:sz w:val="24"/>
          <w:szCs w:val="24"/>
          <w:lang w:eastAsia="pt-BR"/>
        </w:rPr>
        <w:t>*</w:t>
      </w:r>
    </w:p>
    <w:p w:rsidR="00656F4D" w:rsidRPr="00656F4D" w:rsidRDefault="00656F4D" w:rsidP="00656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F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F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F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F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F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F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F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F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F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F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F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56F4D" w:rsidRPr="00656F4D" w:rsidRDefault="00656F4D" w:rsidP="00656F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6F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C21B9" w:rsidRDefault="001C21B9"/>
    <w:sectPr w:rsidR="001C21B9" w:rsidSect="001C21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56F4D"/>
    <w:rsid w:val="00023753"/>
    <w:rsid w:val="001C21B9"/>
    <w:rsid w:val="0065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1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6F4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56F4D"/>
    <w:rPr>
      <w:color w:val="0000FF"/>
      <w:u w:val="single"/>
    </w:rPr>
  </w:style>
  <w:style w:type="paragraph" w:customStyle="1" w:styleId="cabea">
    <w:name w:val="cabea"/>
    <w:basedOn w:val="Normal"/>
    <w:rsid w:val="0065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65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65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8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Decreto-Lei/Del5452.htm" TargetMode="External"/><Relationship Id="rId13" Type="http://schemas.openxmlformats.org/officeDocument/2006/relationships/hyperlink" Target="http://www.planalto.gov.br/ccivil_03/LEIS/L8859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Decreto-Lei/Del5452.htm" TargetMode="External"/><Relationship Id="rId12" Type="http://schemas.openxmlformats.org/officeDocument/2006/relationships/hyperlink" Target="http://www.planalto.gov.br/ccivil_03/LEIS/L6494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Decreto-Lei/Del5452.htm" TargetMode="External"/><Relationship Id="rId11" Type="http://schemas.openxmlformats.org/officeDocument/2006/relationships/hyperlink" Target="http://www.planalto.gov.br/ccivil_03/LEIS/L9394.htm" TargetMode="External"/><Relationship Id="rId5" Type="http://schemas.openxmlformats.org/officeDocument/2006/relationships/hyperlink" Target="http://www.planalto.gov.br/ccivil_03/Decreto-Lei/Del5452.htm" TargetMode="External"/><Relationship Id="rId15" Type="http://schemas.openxmlformats.org/officeDocument/2006/relationships/hyperlink" Target="http://www.planalto.gov.br/ccivil_03/MPV/2164-41.htm" TargetMode="External"/><Relationship Id="rId10" Type="http://schemas.openxmlformats.org/officeDocument/2006/relationships/hyperlink" Target="http://www.planalto.gov.br/ccivil_03/LEIS/L9394.htm" TargetMode="External"/><Relationship Id="rId4" Type="http://schemas.openxmlformats.org/officeDocument/2006/relationships/hyperlink" Target="http://legislacao.planalto.gov.br/legisla/legislacao.nsf/Viw_Identificacao/lei%2011.788-2008?OpenDocument" TargetMode="External"/><Relationship Id="rId9" Type="http://schemas.openxmlformats.org/officeDocument/2006/relationships/hyperlink" Target="http://www.planalto.gov.br/ccivil_03/LEIS/L9394.htm" TargetMode="External"/><Relationship Id="rId14" Type="http://schemas.openxmlformats.org/officeDocument/2006/relationships/hyperlink" Target="http://www.planalto.gov.br/ccivil_03/LEIS/L939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2577</Words>
  <Characters>13921</Characters>
  <Application>Microsoft Office Word</Application>
  <DocSecurity>0</DocSecurity>
  <Lines>116</Lines>
  <Paragraphs>32</Paragraphs>
  <ScaleCrop>false</ScaleCrop>
  <Company>Hewlett-Packard Company</Company>
  <LinksUpToDate>false</LinksUpToDate>
  <CharactersWithSpaces>16466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2019-03-14T19:44:00Z</dcterms:created>
  <dcterms:modified xsi:type="dcterms:W3CDTF">2019-03-14T19:46:00Z</dcterms:modified>
</cp:coreProperties>
</file>