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E87A9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D72F5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</w:t>
            </w:r>
            <w:r w:rsidR="006022DF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711175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</w:t>
            </w:r>
            <w:r w:rsidR="006022DF">
              <w:rPr>
                <w:rFonts w:ascii="Arial" w:hAnsi="Arial" w:cs="Arial"/>
                <w:sz w:val="18"/>
                <w:szCs w:val="18"/>
              </w:rPr>
              <w:t>10/2018 a 02/04</w:t>
            </w:r>
            <w:r w:rsidR="009D5912">
              <w:rPr>
                <w:rFonts w:ascii="Arial" w:hAnsi="Arial" w:cs="Arial"/>
                <w:sz w:val="18"/>
                <w:szCs w:val="18"/>
              </w:rPr>
              <w:t>/201</w:t>
            </w:r>
            <w:r w:rsidR="006022DF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E87A9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E87A93">
              <w:rPr>
                <w:rFonts w:ascii="Arial" w:hAnsi="Arial" w:cs="Arial"/>
                <w:sz w:val="18"/>
                <w:szCs w:val="18"/>
              </w:rPr>
              <w:t>MÁRCIA CRISTINA GRANA DE ALMEIDA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E87A9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1965982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B77C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B77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58991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D72F5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400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DF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175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0420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5912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5FF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9DE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07A9"/>
    <w:rsid w:val="00CA08CB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26"/>
    <w:rsid w:val="00E74DD8"/>
    <w:rsid w:val="00E83796"/>
    <w:rsid w:val="00E83D7E"/>
    <w:rsid w:val="00E84645"/>
    <w:rsid w:val="00E87A93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7C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57E52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2019-01-21T19:25:00Z</dcterms:created>
  <dcterms:modified xsi:type="dcterms:W3CDTF">2019-01-21T19:32:00Z</dcterms:modified>
</cp:coreProperties>
</file>